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090B6C">
      <w:pPr>
        <w:widowControl w:val="0"/>
        <w:spacing w:before="100" w:beforeAutospacing="1" w:after="100" w:afterAutospacing="1" w:line="360" w:lineRule="auto"/>
        <w:ind w:right="-164"/>
        <w:jc w:val="both"/>
        <w:rPr>
          <w:rFonts w:ascii="Palatino Linotype" w:hAnsi="Palatino Linotype" w:cs="Arial"/>
          <w:b/>
          <w:bCs/>
        </w:rPr>
      </w:pPr>
      <w:r w:rsidRPr="00871B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0607D">
        <w:rPr>
          <w:rFonts w:ascii="Palatino Linotype" w:hAnsi="Palatino Linotype" w:cs="Arial"/>
          <w:b/>
        </w:rPr>
        <w:t>TERCERA</w:t>
      </w:r>
      <w:r w:rsidRPr="00871B03">
        <w:rPr>
          <w:rFonts w:ascii="Palatino Linotype" w:hAnsi="Palatino Linotype" w:cs="Arial"/>
          <w:b/>
        </w:rPr>
        <w:t xml:space="preserve"> SESIÓN ORDINARIA DE </w:t>
      </w:r>
      <w:r w:rsidR="00D0607D">
        <w:rPr>
          <w:rFonts w:ascii="Palatino Linotype" w:hAnsi="Palatino Linotype" w:cs="Arial"/>
          <w:b/>
        </w:rPr>
        <w:t>VEINTITRÉS</w:t>
      </w:r>
      <w:r w:rsidR="00BF70B2" w:rsidRPr="00871B03">
        <w:rPr>
          <w:rFonts w:ascii="Palatino Linotype" w:hAnsi="Palatino Linotype" w:cs="Arial"/>
          <w:b/>
        </w:rPr>
        <w:t xml:space="preserve"> DE ENERO DE DOS MIL DIECINUEVE, EN EL RECURSO DE REVISIÓN </w:t>
      </w:r>
      <w:r w:rsidR="006E4ECD">
        <w:rPr>
          <w:rFonts w:ascii="Palatino Linotype" w:hAnsi="Palatino Linotype" w:cs="Arial"/>
          <w:b/>
          <w:bCs/>
        </w:rPr>
        <w:t>04274</w:t>
      </w:r>
      <w:r w:rsidR="00BF70B2" w:rsidRPr="00871B03">
        <w:rPr>
          <w:rFonts w:ascii="Palatino Linotype" w:hAnsi="Palatino Linotype" w:cs="Arial"/>
          <w:b/>
          <w:bCs/>
        </w:rPr>
        <w:t>/INFOEM/IP/RR/2018.</w:t>
      </w:r>
    </w:p>
    <w:p w:rsidR="00F579EE" w:rsidRDefault="00A517EA" w:rsidP="00090B6C">
      <w:pPr>
        <w:widowControl w:val="0"/>
        <w:spacing w:before="100" w:beforeAutospacing="1" w:after="100" w:afterAutospacing="1"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Pr="00871B03">
        <w:rPr>
          <w:rFonts w:ascii="Palatino Linotype" w:hAnsi="Palatino Linotype" w:cs="Arial"/>
        </w:rPr>
        <w:t xml:space="preserve">emite </w:t>
      </w:r>
      <w:r w:rsidRPr="00871B03">
        <w:rPr>
          <w:rFonts w:ascii="Palatino Linotype" w:hAnsi="Palatino Linotype" w:cs="Arial"/>
          <w:b/>
        </w:rPr>
        <w:t>VOTO PARTICULAR</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6E4ECD">
        <w:rPr>
          <w:rFonts w:ascii="Palatino Linotype" w:hAnsi="Palatino Linotype" w:cs="Arial"/>
          <w:b/>
          <w:bCs/>
        </w:rPr>
        <w:t>04274</w:t>
      </w:r>
      <w:r w:rsidR="00670931" w:rsidRPr="00670931">
        <w:rPr>
          <w:rFonts w:ascii="Palatino Linotype" w:hAnsi="Palatino Linotype" w:cs="Arial"/>
          <w:b/>
          <w:bCs/>
        </w:rPr>
        <w:t>/INFOEM/IP/RR/2018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670931">
        <w:rPr>
          <w:rFonts w:ascii="Palatino Linotype" w:hAnsi="Palatino Linotype" w:cs="Arial"/>
          <w:b/>
        </w:rPr>
        <w:t>JAVIER MARTÍNEZ CRUZ</w:t>
      </w:r>
      <w:r w:rsidRPr="00871B03">
        <w:rPr>
          <w:rFonts w:ascii="Palatino Linotype" w:hAnsi="Palatino Linotype" w:cs="Arial"/>
        </w:rPr>
        <w:t xml:space="preserve">, </w:t>
      </w:r>
      <w:r w:rsidR="003C5476">
        <w:rPr>
          <w:rFonts w:ascii="Palatino Linotype" w:hAnsi="Palatino Linotype" w:cs="Arial"/>
        </w:rPr>
        <w:t>que es del tenor siguiente.</w:t>
      </w:r>
    </w:p>
    <w:p w:rsidR="003B0314" w:rsidRDefault="00A517EA" w:rsidP="00090B6C">
      <w:pPr>
        <w:spacing w:before="100" w:beforeAutospacing="1" w:after="100" w:afterAutospacing="1" w:line="360" w:lineRule="auto"/>
        <w:jc w:val="both"/>
        <w:rPr>
          <w:rFonts w:ascii="Palatino Linotype" w:hAnsi="Palatino Linotype" w:cs="Arial"/>
        </w:rPr>
      </w:pPr>
      <w:r w:rsidRPr="00871B03">
        <w:rPr>
          <w:rFonts w:ascii="Palatino Linotype" w:hAnsi="Palatino Linotype" w:cs="Arial"/>
        </w:rPr>
        <w:t xml:space="preserve">Es de destacar, que </w:t>
      </w:r>
      <w:r w:rsidR="003C5476">
        <w:rPr>
          <w:rFonts w:ascii="Palatino Linotype" w:hAnsi="Palatino Linotype" w:cs="Arial"/>
        </w:rPr>
        <w:t>se comparte</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w:t>
      </w:r>
      <w:r w:rsidR="00670931">
        <w:rPr>
          <w:rFonts w:ascii="Palatino Linotype" w:hAnsi="Palatino Linotype" w:cs="Arial"/>
        </w:rPr>
        <w:t>o</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854CEE" w:rsidRDefault="00C90A7B" w:rsidP="006E4ECD">
      <w:pPr>
        <w:spacing w:before="100" w:beforeAutospacing="1" w:after="100" w:afterAutospacing="1" w:line="360" w:lineRule="auto"/>
        <w:jc w:val="both"/>
        <w:rPr>
          <w:rFonts w:ascii="Palatino Linotype" w:eastAsia="Calibri" w:hAnsi="Palatino Linotype" w:cs="Arial"/>
          <w:b/>
        </w:rPr>
      </w:pPr>
      <w:r w:rsidRPr="00B84722">
        <w:rPr>
          <w:rFonts w:ascii="Palatino Linotype" w:hAnsi="Palatino Linotype"/>
        </w:rPr>
        <w:t xml:space="preserve">Tal y como se aprecia en los resultandos de la resolución materia del presente Voto Particular, </w:t>
      </w:r>
      <w:r w:rsidR="001B084F">
        <w:rPr>
          <w:rFonts w:ascii="Palatino Linotype" w:hAnsi="Palatino Linotype"/>
        </w:rPr>
        <w:t>el particular requirió de</w:t>
      </w:r>
      <w:r w:rsidR="00CC4D10">
        <w:rPr>
          <w:rFonts w:ascii="Palatino Linotype" w:hAnsi="Palatino Linotype"/>
        </w:rPr>
        <w:t xml:space="preserve"> la Fiscalía General de Justicia del Estado de México, en lo sucesivo </w:t>
      </w:r>
      <w:r w:rsidR="00CC4D10" w:rsidRPr="008C527E">
        <w:rPr>
          <w:rFonts w:ascii="Palatino Linotype" w:hAnsi="Palatino Linotype"/>
          <w:b/>
        </w:rPr>
        <w:t>EL</w:t>
      </w:r>
      <w:r w:rsidR="00CC4D10">
        <w:rPr>
          <w:rFonts w:ascii="Palatino Linotype" w:hAnsi="Palatino Linotype"/>
        </w:rPr>
        <w:t xml:space="preserve"> </w:t>
      </w:r>
      <w:r w:rsidR="00CC4D10" w:rsidRPr="007745F0">
        <w:rPr>
          <w:rFonts w:ascii="Palatino Linotype" w:hAnsi="Palatino Linotype"/>
          <w:b/>
        </w:rPr>
        <w:t>SUJETO OBLIGADO</w:t>
      </w:r>
      <w:r w:rsidR="00CC4D10">
        <w:rPr>
          <w:rFonts w:ascii="Palatino Linotype" w:hAnsi="Palatino Linotype"/>
          <w:b/>
        </w:rPr>
        <w:t xml:space="preserve">, </w:t>
      </w:r>
      <w:r w:rsidR="001B084F">
        <w:rPr>
          <w:rFonts w:ascii="Palatino Linotype" w:hAnsi="Palatino Linotype"/>
        </w:rPr>
        <w:t xml:space="preserve">copia simple del dictamen de valuación de </w:t>
      </w:r>
      <w:r w:rsidR="001B084F">
        <w:rPr>
          <w:rFonts w:ascii="Palatino Linotype" w:hAnsi="Palatino Linotype"/>
        </w:rPr>
        <w:lastRenderedPageBreak/>
        <w:t>daños de un vehículo automotriz, contenida en una carpeta de investigación, formada con motivo de un accidente vial del que fue parte.</w:t>
      </w:r>
    </w:p>
    <w:p w:rsidR="006E4ECD" w:rsidRPr="001B084F" w:rsidRDefault="001B084F" w:rsidP="001B084F">
      <w:pPr>
        <w:spacing w:before="240" w:after="240" w:line="360" w:lineRule="auto"/>
        <w:jc w:val="both"/>
        <w:rPr>
          <w:rFonts w:ascii="Palatino Linotype" w:hAnsi="Palatino Linotype"/>
        </w:rPr>
      </w:pPr>
      <w:r w:rsidRPr="001B084F">
        <w:rPr>
          <w:rFonts w:ascii="Palatino Linotype" w:hAnsi="Palatino Linotype" w:cs="Arial"/>
        </w:rPr>
        <w:t xml:space="preserve">Al respecto, </w:t>
      </w:r>
      <w:r w:rsidRPr="004863D7">
        <w:rPr>
          <w:rFonts w:ascii="Palatino Linotype" w:hAnsi="Palatino Linotype" w:cs="Arial"/>
          <w:b/>
        </w:rPr>
        <w:t>EL SUJETO OBLIGADO</w:t>
      </w:r>
      <w:r w:rsidRPr="001B084F">
        <w:rPr>
          <w:rFonts w:ascii="Palatino Linotype" w:hAnsi="Palatino Linotype" w:cs="Arial"/>
        </w:rPr>
        <w:t xml:space="preserve"> refirió al particular</w:t>
      </w:r>
      <w:r w:rsidR="006E4ECD" w:rsidRPr="001B084F">
        <w:rPr>
          <w:rFonts w:ascii="Palatino Linotype" w:hAnsi="Palatino Linotype" w:cs="Arial"/>
        </w:rPr>
        <w:t xml:space="preserve"> que</w:t>
      </w:r>
      <w:r w:rsidRPr="001B084F">
        <w:rPr>
          <w:rFonts w:ascii="Palatino Linotype" w:hAnsi="Palatino Linotype" w:cs="Arial"/>
        </w:rPr>
        <w:t>,</w:t>
      </w:r>
      <w:r w:rsidR="006E4ECD" w:rsidRPr="001B084F">
        <w:rPr>
          <w:rFonts w:ascii="Palatino Linotype" w:hAnsi="Palatino Linotype" w:cs="Arial"/>
        </w:rPr>
        <w:t xml:space="preserve"> </w:t>
      </w:r>
      <w:r w:rsidR="006E4ECD" w:rsidRPr="001B084F">
        <w:rPr>
          <w:rFonts w:ascii="Palatino Linotype" w:hAnsi="Palatino Linotype"/>
        </w:rPr>
        <w:t xml:space="preserve">de acuerdo a lo informado por el Secretario Particular del Fiscal Regional de Toluca, Servidor Público Habilitado, después de efectuar una búsqueda en sus archivos se localizó la </w:t>
      </w:r>
      <w:r w:rsidRPr="001B084F">
        <w:rPr>
          <w:rFonts w:ascii="Palatino Linotype" w:hAnsi="Palatino Linotype"/>
        </w:rPr>
        <w:t xml:space="preserve">carpeta </w:t>
      </w:r>
      <w:r w:rsidR="006E4ECD" w:rsidRPr="001B084F">
        <w:rPr>
          <w:rFonts w:ascii="Palatino Linotype" w:hAnsi="Palatino Linotype"/>
        </w:rPr>
        <w:t xml:space="preserve">de </w:t>
      </w:r>
      <w:r w:rsidRPr="001B084F">
        <w:rPr>
          <w:rFonts w:ascii="Palatino Linotype" w:hAnsi="Palatino Linotype"/>
        </w:rPr>
        <w:t xml:space="preserve">investigación </w:t>
      </w:r>
      <w:r>
        <w:rPr>
          <w:rFonts w:ascii="Palatino Linotype" w:hAnsi="Palatino Linotype"/>
        </w:rPr>
        <w:t>mencionada en la solicitud;</w:t>
      </w:r>
      <w:r w:rsidR="006E4ECD" w:rsidRPr="001B084F">
        <w:rPr>
          <w:rFonts w:ascii="Palatino Linotype" w:hAnsi="Palatino Linotype"/>
        </w:rPr>
        <w:t xml:space="preserve"> en la cual es parte, razón por la cual</w:t>
      </w:r>
      <w:r>
        <w:rPr>
          <w:rFonts w:ascii="Palatino Linotype" w:hAnsi="Palatino Linotype"/>
        </w:rPr>
        <w:t xml:space="preserve"> ésta se encontraba a su disposición , en</w:t>
      </w:r>
      <w:r w:rsidR="006E4ECD" w:rsidRPr="001B084F">
        <w:rPr>
          <w:rFonts w:ascii="Palatino Linotype" w:hAnsi="Palatino Linotype"/>
        </w:rPr>
        <w:t xml:space="preserve"> el momento a que a su interés convenga, en las oficinas que ocupa el Primer Turno de la Agencia Central de la Fiscalía Regional Toluca, </w:t>
      </w:r>
      <w:r>
        <w:rPr>
          <w:rFonts w:ascii="Palatino Linotype" w:hAnsi="Palatino Linotype"/>
        </w:rPr>
        <w:t>agregando</w:t>
      </w:r>
      <w:r w:rsidR="006E4ECD" w:rsidRPr="001B084F">
        <w:rPr>
          <w:rFonts w:ascii="Palatino Linotype" w:hAnsi="Palatino Linotype"/>
        </w:rPr>
        <w:t xml:space="preserve"> que la Unidad de Transparencia no es la vía para tener acceso a la misma. </w:t>
      </w:r>
    </w:p>
    <w:p w:rsidR="006E4ECD" w:rsidRPr="001B084F" w:rsidRDefault="001B084F" w:rsidP="001B084F">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Inconforme con dicha determinación, </w:t>
      </w:r>
      <w:r w:rsidRPr="004863D7">
        <w:rPr>
          <w:rFonts w:ascii="Palatino Linotype" w:hAnsi="Palatino Linotype" w:cs="Arial"/>
          <w:b/>
        </w:rPr>
        <w:t>EL RECURRENTE</w:t>
      </w:r>
      <w:r>
        <w:rPr>
          <w:rFonts w:ascii="Palatino Linotype" w:hAnsi="Palatino Linotype" w:cs="Arial"/>
        </w:rPr>
        <w:t xml:space="preserve"> interpuso el medio de defensa de mérito, en el cual manifestó que </w:t>
      </w:r>
      <w:r w:rsidR="006E4ECD" w:rsidRPr="001B084F">
        <w:rPr>
          <w:rFonts w:ascii="Palatino Linotype" w:hAnsi="Palatino Linotype"/>
        </w:rPr>
        <w:t xml:space="preserve">en la Fiscalía Regional de la </w:t>
      </w:r>
      <w:r w:rsidRPr="001B084F">
        <w:rPr>
          <w:rFonts w:ascii="Palatino Linotype" w:hAnsi="Palatino Linotype"/>
        </w:rPr>
        <w:t xml:space="preserve">Agencia </w:t>
      </w:r>
      <w:r w:rsidR="006E4ECD" w:rsidRPr="001B084F">
        <w:rPr>
          <w:rFonts w:ascii="Palatino Linotype" w:hAnsi="Palatino Linotype"/>
        </w:rPr>
        <w:t xml:space="preserve">del </w:t>
      </w:r>
      <w:r w:rsidRPr="001B084F">
        <w:rPr>
          <w:rFonts w:ascii="Palatino Linotype" w:hAnsi="Palatino Linotype"/>
        </w:rPr>
        <w:t xml:space="preserve">Ministerio Público </w:t>
      </w:r>
      <w:r w:rsidR="008D3C21">
        <w:rPr>
          <w:rFonts w:ascii="Palatino Linotype" w:hAnsi="Palatino Linotype"/>
        </w:rPr>
        <w:t>del primer turno só</w:t>
      </w:r>
      <w:r w:rsidR="006E4ECD" w:rsidRPr="001B084F">
        <w:rPr>
          <w:rFonts w:ascii="Palatino Linotype" w:hAnsi="Palatino Linotype"/>
        </w:rPr>
        <w:t>lo t</w:t>
      </w:r>
      <w:r>
        <w:rPr>
          <w:rFonts w:ascii="Palatino Linotype" w:hAnsi="Palatino Linotype"/>
        </w:rPr>
        <w:t>enían l</w:t>
      </w:r>
      <w:r w:rsidR="006E4ECD" w:rsidRPr="001B084F">
        <w:rPr>
          <w:rFonts w:ascii="Palatino Linotype" w:hAnsi="Palatino Linotype"/>
        </w:rPr>
        <w:t xml:space="preserve">a carpeta de investigación, </w:t>
      </w:r>
      <w:r>
        <w:rPr>
          <w:rFonts w:ascii="Palatino Linotype" w:hAnsi="Palatino Linotype"/>
        </w:rPr>
        <w:t>no así la documental requerida</w:t>
      </w:r>
      <w:r w:rsidR="006E4ECD" w:rsidRPr="001B084F">
        <w:rPr>
          <w:rFonts w:ascii="Palatino Linotype" w:hAnsi="Palatino Linotype"/>
        </w:rPr>
        <w:t>,</w:t>
      </w:r>
      <w:r>
        <w:rPr>
          <w:rFonts w:ascii="Palatino Linotype" w:hAnsi="Palatino Linotype"/>
        </w:rPr>
        <w:t xml:space="preserve"> la cual le era necesaria para</w:t>
      </w:r>
      <w:r w:rsidR="006E4ECD" w:rsidRPr="001B084F">
        <w:rPr>
          <w:rFonts w:ascii="Palatino Linotype" w:hAnsi="Palatino Linotype"/>
        </w:rPr>
        <w:t xml:space="preserve"> poder cobrar los daños a la aseguradora del otro vehículo y continuar con el proceso.</w:t>
      </w:r>
    </w:p>
    <w:p w:rsidR="009D4A32" w:rsidRDefault="009D4A32" w:rsidP="009D4A32">
      <w:pPr>
        <w:spacing w:before="240" w:after="240" w:line="360" w:lineRule="auto"/>
        <w:jc w:val="both"/>
        <w:rPr>
          <w:rFonts w:ascii="Palatino Linotype" w:hAnsi="Palatino Linotype"/>
        </w:rPr>
      </w:pPr>
      <w:r>
        <w:rPr>
          <w:rFonts w:ascii="Palatino Linotype" w:hAnsi="Palatino Linotype"/>
        </w:rPr>
        <w:t xml:space="preserve">Ahora bien, previo análisis del expediente electrónico del </w:t>
      </w:r>
      <w:r w:rsidRPr="004863D7">
        <w:rPr>
          <w:rFonts w:ascii="Palatino Linotype" w:hAnsi="Palatino Linotype"/>
          <w:b/>
        </w:rPr>
        <w:t>SAIMEX</w:t>
      </w:r>
      <w:r>
        <w:rPr>
          <w:rFonts w:ascii="Palatino Linotype" w:hAnsi="Palatino Linotype"/>
        </w:rPr>
        <w:t xml:space="preserve">, la Ponencia Resolutora estimó que </w:t>
      </w:r>
      <w:r w:rsidRPr="00847C84">
        <w:rPr>
          <w:rFonts w:ascii="Palatino Linotype" w:hAnsi="Palatino Linotype"/>
        </w:rPr>
        <w:t>la in</w:t>
      </w:r>
      <w:r>
        <w:rPr>
          <w:rFonts w:ascii="Palatino Linotype" w:hAnsi="Palatino Linotype"/>
        </w:rPr>
        <w:t>formación solicitada correspondía</w:t>
      </w:r>
      <w:r w:rsidRPr="00847C84">
        <w:rPr>
          <w:rFonts w:ascii="Palatino Linotype" w:hAnsi="Palatino Linotype"/>
        </w:rPr>
        <w:t xml:space="preserve"> a un </w:t>
      </w:r>
      <w:r w:rsidR="008D3C21">
        <w:rPr>
          <w:rFonts w:ascii="Palatino Linotype" w:hAnsi="Palatino Linotype"/>
        </w:rPr>
        <w:t xml:space="preserve">Derecho de </w:t>
      </w:r>
      <w:r w:rsidR="008D3C21" w:rsidRPr="00847C84">
        <w:rPr>
          <w:rFonts w:ascii="Palatino Linotype" w:hAnsi="Palatino Linotype"/>
        </w:rPr>
        <w:t xml:space="preserve">Acceso </w:t>
      </w:r>
      <w:r>
        <w:rPr>
          <w:rFonts w:ascii="Palatino Linotype" w:hAnsi="Palatino Linotype"/>
        </w:rPr>
        <w:t xml:space="preserve">a </w:t>
      </w:r>
      <w:r w:rsidR="008D3C21">
        <w:rPr>
          <w:rFonts w:ascii="Palatino Linotype" w:hAnsi="Palatino Linotype"/>
        </w:rPr>
        <w:t>Datos Personales</w:t>
      </w:r>
      <w:r>
        <w:rPr>
          <w:rFonts w:ascii="Palatino Linotype" w:hAnsi="Palatino Linotype"/>
        </w:rPr>
        <w:t>, no así, al ejercicio de un Derecho de Acceso a la Información; máxime que el propio particular refirió que era parte dentro del proceso de investigación. Por ello, estimó que el derecho ejercido por el</w:t>
      </w:r>
      <w:r w:rsidRPr="0090521E">
        <w:rPr>
          <w:rFonts w:ascii="Palatino Linotype" w:hAnsi="Palatino Linotype"/>
        </w:rPr>
        <w:t xml:space="preserve"> particular se enc</w:t>
      </w:r>
      <w:r>
        <w:rPr>
          <w:rFonts w:ascii="Palatino Linotype" w:hAnsi="Palatino Linotype"/>
        </w:rPr>
        <w:t>ontrab</w:t>
      </w:r>
      <w:r w:rsidRPr="0090521E">
        <w:rPr>
          <w:rFonts w:ascii="Palatino Linotype" w:hAnsi="Palatino Linotype"/>
        </w:rPr>
        <w:t>a regulado por los numerales 97 y 98</w:t>
      </w:r>
      <w:r w:rsidRPr="0090521E">
        <w:rPr>
          <w:rFonts w:ascii="Palatino Linotype" w:hAnsi="Palatino Linotype"/>
          <w:lang w:eastAsia="es-MX"/>
        </w:rPr>
        <w:t xml:space="preserve"> de la </w:t>
      </w:r>
      <w:r w:rsidRPr="0090521E">
        <w:rPr>
          <w:rFonts w:ascii="Palatino Linotype" w:hAnsi="Palatino Linotype"/>
        </w:rPr>
        <w:t>Ley de Protección de Datos Personales en Posesión de Sujetos Obligados del Estado de México y Municipios</w:t>
      </w:r>
      <w:r>
        <w:rPr>
          <w:rFonts w:ascii="Palatino Linotype" w:hAnsi="Palatino Linotype"/>
        </w:rPr>
        <w:t>.</w:t>
      </w:r>
    </w:p>
    <w:p w:rsidR="009D4A32" w:rsidRDefault="009D4A32" w:rsidP="009D4A32">
      <w:pPr>
        <w:spacing w:before="240" w:after="240" w:line="360" w:lineRule="auto"/>
        <w:jc w:val="both"/>
        <w:rPr>
          <w:rFonts w:ascii="Palatino Linotype" w:hAnsi="Palatino Linotype"/>
          <w:b/>
          <w:u w:val="single"/>
        </w:rPr>
      </w:pPr>
      <w:r>
        <w:rPr>
          <w:rFonts w:ascii="Palatino Linotype" w:hAnsi="Palatino Linotype"/>
        </w:rPr>
        <w:lastRenderedPageBreak/>
        <w:t>En esa virtud, se determinó que</w:t>
      </w:r>
      <w:r>
        <w:rPr>
          <w:rFonts w:ascii="Palatino Linotype" w:hAnsi="Palatino Linotype" w:cs="Arial"/>
        </w:rPr>
        <w:t xml:space="preserve"> para poder acceder a la carpeta de investigación</w:t>
      </w:r>
      <w:r w:rsidRPr="00EA25FD">
        <w:rPr>
          <w:rFonts w:ascii="Palatino Linotype" w:hAnsi="Palatino Linotype" w:cs="Arial"/>
        </w:rPr>
        <w:t xml:space="preserve"> e</w:t>
      </w:r>
      <w:r>
        <w:rPr>
          <w:rFonts w:ascii="Palatino Linotype" w:hAnsi="Palatino Linotype" w:cs="Arial"/>
        </w:rPr>
        <w:t xml:space="preserve">ra necesario que se acreditara la personalidad ante el Ministerio Público que conoce de los hechos que se investigan y que </w:t>
      </w:r>
      <w:r w:rsidRPr="00854CEE">
        <w:rPr>
          <w:rFonts w:ascii="Palatino Linotype" w:hAnsi="Palatino Linotype"/>
        </w:rPr>
        <w:t>sólo pueden examinar los registros y los documentos: el imputado y los demás intervinientes en el procedimiento.</w:t>
      </w:r>
    </w:p>
    <w:p w:rsidR="009D4A32" w:rsidRPr="00854CEE" w:rsidRDefault="009D4A32" w:rsidP="009D4A32">
      <w:pPr>
        <w:spacing w:before="240" w:after="240" w:line="360" w:lineRule="auto"/>
        <w:jc w:val="both"/>
        <w:rPr>
          <w:rFonts w:ascii="Palatino Linotype" w:hAnsi="Palatino Linotype"/>
        </w:rPr>
      </w:pPr>
      <w:r w:rsidRPr="00854CEE">
        <w:rPr>
          <w:rFonts w:ascii="Palatino Linotype" w:hAnsi="Palatino Linotype"/>
        </w:rPr>
        <w:t>Asimismo, la Ponencia Resolutora estimó que la deliberación de otorgar o negar el acceso a una carpeta de investigación no es competencia de la Unidad de Transparencia, o bien, de este Instituto, ya que se trata de un procedimiento diverso en el cual el Ministerio Publico, en uso de</w:t>
      </w:r>
      <w:r>
        <w:rPr>
          <w:rFonts w:ascii="Palatino Linotype" w:hAnsi="Palatino Linotype"/>
        </w:rPr>
        <w:t xml:space="preserve"> </w:t>
      </w:r>
      <w:r w:rsidRPr="00854CEE">
        <w:rPr>
          <w:rFonts w:ascii="Palatino Linotype" w:hAnsi="Palatino Linotype"/>
        </w:rPr>
        <w:t xml:space="preserve">la facultad discrecional otorgada por el artículo 20 constitucional, determina la viabilidad de otorgar el acceso a los datos que integran una carpeta de investigación. </w:t>
      </w:r>
    </w:p>
    <w:p w:rsidR="009D4A32" w:rsidRDefault="009D4A32" w:rsidP="009D4A32">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En ese orden de ideas,</w:t>
      </w:r>
      <w:r>
        <w:rPr>
          <w:rFonts w:ascii="Palatino Linotype" w:eastAsia="Calibri" w:hAnsi="Palatino Linotype" w:cs="Arial"/>
        </w:rPr>
        <w:t xml:space="preserve"> en la resolución de mérito se concluyó que</w:t>
      </w:r>
      <w:r w:rsidRPr="003333AA">
        <w:rPr>
          <w:rFonts w:ascii="Palatino Linotype" w:eastAsia="Calibri" w:hAnsi="Palatino Linotype" w:cs="Arial"/>
        </w:rPr>
        <w:t xml:space="preserve"> las solicitudes de acceso a datos personales no son la vía idónea para que las víctimas u ofendidos puedan tener a</w:t>
      </w:r>
      <w:r>
        <w:rPr>
          <w:rFonts w:ascii="Palatino Linotype" w:eastAsia="Calibri" w:hAnsi="Palatino Linotype" w:cs="Arial"/>
        </w:rPr>
        <w:t xml:space="preserve">cceso a la información contenida en una carpeta de investigación. Por lo que, se confirmó la respuesta del </w:t>
      </w:r>
      <w:r w:rsidRPr="004863D7">
        <w:rPr>
          <w:rFonts w:ascii="Palatino Linotype" w:eastAsia="Calibri" w:hAnsi="Palatino Linotype" w:cs="Arial"/>
          <w:b/>
        </w:rPr>
        <w:t>SUJETO OBLIGADO</w:t>
      </w:r>
      <w:r>
        <w:rPr>
          <w:rFonts w:ascii="Palatino Linotype" w:eastAsia="Calibri" w:hAnsi="Palatino Linotype" w:cs="Arial"/>
        </w:rPr>
        <w:t>.</w:t>
      </w:r>
    </w:p>
    <w:p w:rsidR="009D4A32" w:rsidRDefault="008D3C21" w:rsidP="008122B6">
      <w:pPr>
        <w:spacing w:before="240" w:after="240" w:line="360" w:lineRule="auto"/>
        <w:jc w:val="both"/>
        <w:rPr>
          <w:rFonts w:ascii="Palatino Linotype" w:hAnsi="Palatino Linotype"/>
        </w:rPr>
      </w:pPr>
      <w:r>
        <w:rPr>
          <w:rFonts w:ascii="Palatino Linotype" w:hAnsi="Palatino Linotype"/>
        </w:rPr>
        <w:t xml:space="preserve">Bajo ese contexto, la suscrita, si bien es cierto comparte el sentido en que se resuelve la resolución de mérito, también lo es, que estima que la Ponencia Resolutora debió emitir algún pronunciamiento respecto de que </w:t>
      </w:r>
      <w:r w:rsidRPr="008D3C21">
        <w:rPr>
          <w:rFonts w:ascii="Palatino Linotype" w:hAnsi="Palatino Linotype"/>
          <w:b/>
        </w:rPr>
        <w:t>EL RECURRENTE</w:t>
      </w:r>
      <w:r>
        <w:rPr>
          <w:rFonts w:ascii="Palatino Linotype" w:hAnsi="Palatino Linotype"/>
        </w:rPr>
        <w:t xml:space="preserve"> manifestó que </w:t>
      </w:r>
      <w:r w:rsidRPr="001B084F">
        <w:rPr>
          <w:rFonts w:ascii="Palatino Linotype" w:hAnsi="Palatino Linotype"/>
        </w:rPr>
        <w:t xml:space="preserve">en la Fiscalía Regional de la Agencia del Ministerio Público </w:t>
      </w:r>
      <w:r>
        <w:rPr>
          <w:rFonts w:ascii="Palatino Linotype" w:hAnsi="Palatino Linotype"/>
        </w:rPr>
        <w:t>del primer turno só</w:t>
      </w:r>
      <w:r w:rsidRPr="001B084F">
        <w:rPr>
          <w:rFonts w:ascii="Palatino Linotype" w:hAnsi="Palatino Linotype"/>
        </w:rPr>
        <w:t>lo t</w:t>
      </w:r>
      <w:r>
        <w:rPr>
          <w:rFonts w:ascii="Palatino Linotype" w:hAnsi="Palatino Linotype"/>
        </w:rPr>
        <w:t>enían l</w:t>
      </w:r>
      <w:r w:rsidRPr="001B084F">
        <w:rPr>
          <w:rFonts w:ascii="Palatino Linotype" w:hAnsi="Palatino Linotype"/>
        </w:rPr>
        <w:t xml:space="preserve">a carpeta de investigación, </w:t>
      </w:r>
      <w:r>
        <w:rPr>
          <w:rFonts w:ascii="Palatino Linotype" w:hAnsi="Palatino Linotype"/>
        </w:rPr>
        <w:t>no así el dictamen de valuación de daños de</w:t>
      </w:r>
      <w:r w:rsidR="003E507D">
        <w:rPr>
          <w:rFonts w:ascii="Palatino Linotype" w:hAnsi="Palatino Linotype"/>
        </w:rPr>
        <w:t>l</w:t>
      </w:r>
      <w:r>
        <w:rPr>
          <w:rFonts w:ascii="Palatino Linotype" w:hAnsi="Palatino Linotype"/>
        </w:rPr>
        <w:t xml:space="preserve"> vehículo automotriz</w:t>
      </w:r>
      <w:r w:rsidR="003E507D">
        <w:rPr>
          <w:rFonts w:ascii="Palatino Linotype" w:hAnsi="Palatino Linotype"/>
        </w:rPr>
        <w:t xml:space="preserve"> de que se trata</w:t>
      </w:r>
      <w:r>
        <w:rPr>
          <w:rFonts w:ascii="Palatino Linotype" w:hAnsi="Palatino Linotype"/>
        </w:rPr>
        <w:t>.</w:t>
      </w:r>
    </w:p>
    <w:p w:rsidR="008D3C21" w:rsidRDefault="008D3C21" w:rsidP="008122B6">
      <w:pPr>
        <w:spacing w:before="240" w:after="240" w:line="360" w:lineRule="auto"/>
        <w:jc w:val="both"/>
        <w:rPr>
          <w:rFonts w:ascii="Palatino Linotype" w:hAnsi="Palatino Linotype"/>
        </w:rPr>
      </w:pPr>
      <w:r>
        <w:rPr>
          <w:rFonts w:ascii="Palatino Linotype" w:hAnsi="Palatino Linotype"/>
        </w:rPr>
        <w:lastRenderedPageBreak/>
        <w:t xml:space="preserve">Al respecto se destaca, que </w:t>
      </w:r>
      <w:r w:rsidRPr="008D3C21">
        <w:rPr>
          <w:rFonts w:ascii="Palatino Linotype" w:hAnsi="Palatino Linotype"/>
          <w:b/>
        </w:rPr>
        <w:t>EL SUJETO OBLIGADO</w:t>
      </w:r>
      <w:r>
        <w:rPr>
          <w:rFonts w:ascii="Palatino Linotype" w:hAnsi="Palatino Linotype"/>
        </w:rPr>
        <w:t xml:space="preserve"> no hizo pronunciamiento alguno de la documental en específico requerida por el particular</w:t>
      </w:r>
      <w:r w:rsidR="003E507D">
        <w:rPr>
          <w:rFonts w:ascii="Palatino Linotype" w:hAnsi="Palatino Linotype"/>
        </w:rPr>
        <w:t>,</w:t>
      </w:r>
      <w:r>
        <w:rPr>
          <w:rFonts w:ascii="Palatino Linotype" w:hAnsi="Palatino Linotype"/>
        </w:rPr>
        <w:t xml:space="preserve"> pues se limitó a señalar que </w:t>
      </w:r>
      <w:r w:rsidRPr="001B084F">
        <w:rPr>
          <w:rFonts w:ascii="Palatino Linotype" w:hAnsi="Palatino Linotype"/>
        </w:rPr>
        <w:t xml:space="preserve">después de efectuar una búsqueda en sus archivos se localizó la carpeta de </w:t>
      </w:r>
      <w:r>
        <w:rPr>
          <w:rFonts w:ascii="Palatino Linotype" w:hAnsi="Palatino Linotype"/>
        </w:rPr>
        <w:t>investigación</w:t>
      </w:r>
      <w:r w:rsidR="003E507D">
        <w:rPr>
          <w:rFonts w:ascii="Palatino Linotype" w:hAnsi="Palatino Linotype"/>
        </w:rPr>
        <w:t>, en la que se identificó que el solicitante es parte</w:t>
      </w:r>
      <w:r>
        <w:rPr>
          <w:rFonts w:ascii="Palatino Linotype" w:hAnsi="Palatino Linotype"/>
        </w:rPr>
        <w:t>.</w:t>
      </w:r>
    </w:p>
    <w:p w:rsidR="008D3C21" w:rsidRDefault="008D3C21" w:rsidP="008D3C21">
      <w:pPr>
        <w:spacing w:before="240" w:after="240" w:line="360" w:lineRule="auto"/>
        <w:jc w:val="both"/>
        <w:rPr>
          <w:rFonts w:ascii="Palatino Linotype" w:hAnsi="Palatino Linotype" w:cs="Arial"/>
        </w:rPr>
      </w:pPr>
      <w:r>
        <w:rPr>
          <w:rFonts w:ascii="Palatino Linotype" w:hAnsi="Palatino Linotype"/>
        </w:rPr>
        <w:t xml:space="preserve">Es así como, al formar parte de las razones o motivos de inconformidad hechos valer por </w:t>
      </w:r>
      <w:r w:rsidR="003E507D" w:rsidRPr="003E507D">
        <w:rPr>
          <w:rFonts w:ascii="Palatino Linotype" w:hAnsi="Palatino Linotype"/>
          <w:b/>
        </w:rPr>
        <w:t>EL RECURRENTE</w:t>
      </w:r>
      <w:r w:rsidR="003E507D">
        <w:rPr>
          <w:rFonts w:ascii="Palatino Linotype" w:hAnsi="Palatino Linotype"/>
        </w:rPr>
        <w:t xml:space="preserve"> </w:t>
      </w:r>
      <w:r>
        <w:rPr>
          <w:rFonts w:ascii="Palatino Linotype" w:hAnsi="Palatino Linotype"/>
        </w:rPr>
        <w:t xml:space="preserve">y ante la omisión en </w:t>
      </w:r>
      <w:r w:rsidR="00366738">
        <w:rPr>
          <w:rFonts w:ascii="Palatino Linotype" w:hAnsi="Palatino Linotype"/>
        </w:rPr>
        <w:t>específico</w:t>
      </w:r>
      <w:r>
        <w:rPr>
          <w:rFonts w:ascii="Palatino Linotype" w:hAnsi="Palatino Linotype"/>
        </w:rPr>
        <w:t xml:space="preserve"> del señalamiento por parte del </w:t>
      </w:r>
      <w:r w:rsidRPr="00366738">
        <w:rPr>
          <w:rFonts w:ascii="Palatino Linotype" w:hAnsi="Palatino Linotype"/>
          <w:b/>
        </w:rPr>
        <w:t>SUJETO OBLIGADO</w:t>
      </w:r>
      <w:r>
        <w:rPr>
          <w:rFonts w:ascii="Palatino Linotype" w:hAnsi="Palatino Linotype"/>
        </w:rPr>
        <w:t>, l</w:t>
      </w:r>
      <w:r>
        <w:rPr>
          <w:rFonts w:ascii="Palatino Linotype" w:hAnsi="Palatino Linotype" w:cs="Arial"/>
        </w:rPr>
        <w:t xml:space="preserve">a Ponencia Resolutora debió </w:t>
      </w:r>
      <w:r w:rsidR="00366738">
        <w:rPr>
          <w:rFonts w:ascii="Palatino Linotype" w:hAnsi="Palatino Linotype" w:cs="Arial"/>
        </w:rPr>
        <w:t xml:space="preserve">emitir un pronunciamiento respecto de la manifestación del </w:t>
      </w:r>
      <w:r w:rsidR="00366738" w:rsidRPr="00366738">
        <w:rPr>
          <w:rFonts w:ascii="Palatino Linotype" w:hAnsi="Palatino Linotype" w:cs="Arial"/>
          <w:b/>
        </w:rPr>
        <w:t>RECURRENTE</w:t>
      </w:r>
      <w:r w:rsidR="00366738">
        <w:rPr>
          <w:rFonts w:ascii="Palatino Linotype" w:hAnsi="Palatino Linotype" w:cs="Arial"/>
        </w:rPr>
        <w:t xml:space="preserve"> inherente a que en </w:t>
      </w:r>
      <w:r w:rsidR="00366738" w:rsidRPr="001B084F">
        <w:rPr>
          <w:rFonts w:ascii="Palatino Linotype" w:hAnsi="Palatino Linotype"/>
        </w:rPr>
        <w:t xml:space="preserve">la Fiscalía Regional de la Agencia del Ministerio Público </w:t>
      </w:r>
      <w:r w:rsidR="00366738">
        <w:rPr>
          <w:rFonts w:ascii="Palatino Linotype" w:hAnsi="Palatino Linotype"/>
        </w:rPr>
        <w:t>del primer turno só</w:t>
      </w:r>
      <w:r w:rsidR="00366738" w:rsidRPr="001B084F">
        <w:rPr>
          <w:rFonts w:ascii="Palatino Linotype" w:hAnsi="Palatino Linotype"/>
        </w:rPr>
        <w:t>lo t</w:t>
      </w:r>
      <w:r w:rsidR="00366738">
        <w:rPr>
          <w:rFonts w:ascii="Palatino Linotype" w:hAnsi="Palatino Linotype"/>
        </w:rPr>
        <w:t>enían l</w:t>
      </w:r>
      <w:r w:rsidR="00366738" w:rsidRPr="001B084F">
        <w:rPr>
          <w:rFonts w:ascii="Palatino Linotype" w:hAnsi="Palatino Linotype"/>
        </w:rPr>
        <w:t xml:space="preserve">a carpeta de investigación, </w:t>
      </w:r>
      <w:r w:rsidR="00366738">
        <w:rPr>
          <w:rFonts w:ascii="Palatino Linotype" w:hAnsi="Palatino Linotype"/>
        </w:rPr>
        <w:t xml:space="preserve">no así el dictamen de valuación de daños solicitado. Lo anterior, a fin de dar cumplimiento </w:t>
      </w:r>
      <w:r>
        <w:rPr>
          <w:rFonts w:ascii="Palatino Linotype" w:hAnsi="Palatino Linotype" w:cs="Arial"/>
        </w:rPr>
        <w:t xml:space="preserve">a </w:t>
      </w:r>
      <w:r w:rsidRPr="009C5FF5">
        <w:rPr>
          <w:rFonts w:ascii="Palatino Linotype" w:hAnsi="Palatino Linotype" w:cs="Arial"/>
        </w:rPr>
        <w:t xml:space="preserve">los principios de </w:t>
      </w:r>
      <w:r>
        <w:rPr>
          <w:rFonts w:ascii="Palatino Linotype" w:hAnsi="Palatino Linotype" w:cs="Arial"/>
        </w:rPr>
        <w:t>certeza jurídica</w:t>
      </w:r>
      <w:r w:rsidR="00366738">
        <w:rPr>
          <w:rFonts w:ascii="Palatino Linotype" w:hAnsi="Palatino Linotype" w:cs="Arial"/>
        </w:rPr>
        <w:t>, exhaustividad, fundamentación, motivación</w:t>
      </w:r>
      <w:r>
        <w:rPr>
          <w:rFonts w:ascii="Palatino Linotype" w:hAnsi="Palatino Linotype" w:cs="Arial"/>
        </w:rPr>
        <w:t xml:space="preserve"> y </w:t>
      </w:r>
      <w:r w:rsidR="00366738">
        <w:rPr>
          <w:rFonts w:ascii="Palatino Linotype" w:hAnsi="Palatino Linotype" w:cs="Arial"/>
        </w:rPr>
        <w:t>objetividad. Sirve de sustento a lo anterior, los siguientes preceptos legales</w:t>
      </w:r>
      <w:r>
        <w:rPr>
          <w:rFonts w:ascii="Palatino Linotype" w:hAnsi="Palatino Linotype" w:cs="Arial"/>
        </w:rPr>
        <w:t>:</w:t>
      </w:r>
    </w:p>
    <w:p w:rsidR="008D3C21" w:rsidRPr="00444E6E" w:rsidRDefault="008D3C21" w:rsidP="008D3C21">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8D3C21" w:rsidRDefault="008D3C21" w:rsidP="008D3C21">
      <w:pPr>
        <w:spacing w:before="100" w:beforeAutospacing="1" w:after="100" w:afterAutospacing="1"/>
        <w:ind w:left="851" w:right="902"/>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w:t>
      </w:r>
      <w:r w:rsidRPr="002B1A63">
        <w:rPr>
          <w:rFonts w:ascii="Palatino Linotype" w:hAnsi="Palatino Linotype" w:cs="Arial"/>
          <w:b/>
          <w:bCs/>
          <w:i/>
          <w:sz w:val="22"/>
        </w:rPr>
        <w:t xml:space="preserve">Solo podrá ser clasificada excepcionalmente como reservada temporalmente por razones de interés público, en los términos de las causas legítimas y estrictamente necesarias previstas por esta Ley. </w:t>
      </w:r>
    </w:p>
    <w:p w:rsidR="008D3C21" w:rsidRDefault="008D3C21" w:rsidP="008D3C21">
      <w:pPr>
        <w:spacing w:before="100" w:beforeAutospacing="1" w:after="100" w:afterAutospacing="1"/>
        <w:ind w:left="851" w:right="902"/>
        <w:jc w:val="both"/>
        <w:rPr>
          <w:rFonts w:ascii="Palatino Linotype" w:hAnsi="Palatino Linotype" w:cs="Arial"/>
          <w:bCs/>
          <w:i/>
          <w:sz w:val="22"/>
        </w:rPr>
      </w:pPr>
      <w:r w:rsidRPr="00444E6E">
        <w:rPr>
          <w:rFonts w:ascii="Palatino Linotype" w:hAnsi="Palatino Linotype" w:cs="Arial"/>
          <w:bCs/>
          <w:i/>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rsidR="008D3C21" w:rsidRPr="00AE1F11" w:rsidRDefault="008D3C21" w:rsidP="008D3C21">
      <w:pPr>
        <w:spacing w:before="100" w:beforeAutospacing="1" w:after="100" w:afterAutospacing="1"/>
        <w:ind w:left="851" w:right="902"/>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8D3C21" w:rsidRPr="00CD11F9" w:rsidRDefault="008D3C21" w:rsidP="008D3C21">
      <w:pPr>
        <w:spacing w:before="100" w:beforeAutospacing="1" w:after="100" w:afterAutospacing="1"/>
        <w:ind w:left="851" w:right="902"/>
        <w:jc w:val="both"/>
        <w:rPr>
          <w:rFonts w:ascii="Palatino Linotype" w:hAnsi="Palatino Linotype" w:cs="Arial"/>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CD11F9">
        <w:rPr>
          <w:rFonts w:ascii="Palatino Linotype" w:hAnsi="Palatino Linotype" w:cs="Arial"/>
          <w:bCs/>
          <w:i/>
          <w:sz w:val="22"/>
        </w:rPr>
        <w:t xml:space="preserve">Principio que </w:t>
      </w:r>
      <w:r w:rsidRPr="00CD11F9">
        <w:rPr>
          <w:rFonts w:ascii="Palatino Linotype" w:hAnsi="Palatino Linotype" w:cs="Arial"/>
          <w:b/>
          <w:bCs/>
          <w:i/>
          <w:sz w:val="22"/>
        </w:rPr>
        <w:t>otorga seguridad y certidumbre jurídica a los particulares</w:t>
      </w:r>
      <w:r w:rsidRPr="00CD11F9">
        <w:rPr>
          <w:rFonts w:ascii="Palatino Linotype" w:hAnsi="Palatino Linotype" w:cs="Arial"/>
          <w:bCs/>
          <w:i/>
          <w:sz w:val="22"/>
        </w:rPr>
        <w:t xml:space="preserve">, en virtud de que permite conocer si las acciones del Instituto son apegadas a derecho y garantiza que los procedimientos sean completamente verificables, fidedignos y confiables; </w:t>
      </w:r>
    </w:p>
    <w:p w:rsidR="008D3C21" w:rsidRPr="006807DD" w:rsidRDefault="008D3C21" w:rsidP="008D3C21">
      <w:pPr>
        <w:spacing w:before="100" w:beforeAutospacing="1" w:after="100" w:afterAutospacing="1"/>
        <w:ind w:left="851" w:right="902"/>
        <w:jc w:val="both"/>
        <w:rPr>
          <w:rFonts w:ascii="Palatino Linotype" w:hAnsi="Palatino Linotype" w:cs="Arial"/>
          <w:b/>
          <w:bCs/>
          <w:i/>
          <w:sz w:val="22"/>
        </w:rPr>
      </w:pPr>
      <w:r>
        <w:rPr>
          <w:rFonts w:ascii="Palatino Linotype" w:hAnsi="Palatino Linotype" w:cs="Arial"/>
          <w:b/>
          <w:bCs/>
          <w:i/>
          <w:sz w:val="22"/>
        </w:rPr>
        <w:t>…</w:t>
      </w:r>
    </w:p>
    <w:p w:rsidR="008D3C21" w:rsidRPr="00CD11F9" w:rsidRDefault="008D3C21" w:rsidP="008D3C21">
      <w:pPr>
        <w:spacing w:before="100" w:beforeAutospacing="1" w:after="100" w:afterAutospacing="1"/>
        <w:ind w:left="851" w:right="902"/>
        <w:jc w:val="both"/>
        <w:rPr>
          <w:rFonts w:ascii="Palatino Linotype" w:hAnsi="Palatino Linotype" w:cs="Arial"/>
          <w:bCs/>
          <w:i/>
          <w:sz w:val="22"/>
        </w:rPr>
      </w:pPr>
      <w:r w:rsidRPr="006807DD">
        <w:rPr>
          <w:rFonts w:ascii="Palatino Linotype" w:hAnsi="Palatino Linotype" w:cs="Arial"/>
          <w:b/>
          <w:bCs/>
          <w:i/>
          <w:sz w:val="22"/>
        </w:rPr>
        <w:t xml:space="preserve">VIII. Objetividad: </w:t>
      </w:r>
      <w:r w:rsidRPr="00CD11F9">
        <w:rPr>
          <w:rFonts w:ascii="Palatino Linotype" w:hAnsi="Palatino Linotype" w:cs="Arial"/>
          <w:b/>
          <w:bCs/>
          <w:i/>
          <w:sz w:val="22"/>
        </w:rPr>
        <w:t xml:space="preserve">Obligación del Instituto de ajustar su actuación a los presupuestos de ley </w:t>
      </w:r>
      <w:r w:rsidRPr="00CD11F9">
        <w:rPr>
          <w:rFonts w:ascii="Palatino Linotype" w:hAnsi="Palatino Linotype" w:cs="Arial"/>
          <w:bCs/>
          <w:i/>
          <w:sz w:val="22"/>
        </w:rPr>
        <w:t xml:space="preserve">que deben ser aplicados al analizar el caso en concreto y resolver todos los hechos, prescindiendo de las consideraciones y criterios personales; </w:t>
      </w:r>
    </w:p>
    <w:p w:rsidR="008D3C21" w:rsidRPr="00444E6E" w:rsidRDefault="008D3C21" w:rsidP="008D3C21">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Cs/>
          <w:i/>
          <w:sz w:val="22"/>
        </w:rPr>
        <w:t>…”</w:t>
      </w:r>
    </w:p>
    <w:p w:rsidR="008D3C21" w:rsidRPr="00444E6E" w:rsidRDefault="008D3C21" w:rsidP="008D3C21">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Cs/>
          <w:i/>
          <w:sz w:val="22"/>
        </w:rPr>
        <w:t>(Énfasis añadido)</w:t>
      </w:r>
    </w:p>
    <w:p w:rsidR="008D3C21" w:rsidRDefault="008D3C21" w:rsidP="008D3C21">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w:t>
      </w:r>
      <w:r w:rsidRPr="00852166">
        <w:rPr>
          <w:rFonts w:ascii="Palatino Linotype" w:hAnsi="Palatino Linotype" w:cs="Arial"/>
        </w:rPr>
        <w:t>,</w:t>
      </w:r>
      <w:r>
        <w:rPr>
          <w:rFonts w:ascii="Palatino Linotype" w:hAnsi="Palatino Linotype" w:cs="Arial"/>
        </w:rPr>
        <w:t xml:space="preserve"> </w:t>
      </w:r>
      <w:r w:rsidRPr="00852166">
        <w:rPr>
          <w:rFonts w:ascii="Palatino Linotype" w:hAnsi="Palatino Linotype" w:cs="Arial"/>
        </w:rPr>
        <w:t>cuyo tenor es el siguiente</w:t>
      </w:r>
      <w:r>
        <w:rPr>
          <w:rFonts w:ascii="Palatino Linotype" w:hAnsi="Palatino Linotype" w:cs="Arial"/>
        </w:rPr>
        <w:t>:</w:t>
      </w:r>
    </w:p>
    <w:p w:rsidR="008D3C21" w:rsidRPr="00D621C2" w:rsidRDefault="008D3C21" w:rsidP="008D3C21">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w:t>
      </w:r>
      <w:r w:rsidRPr="00D621C2">
        <w:rPr>
          <w:rFonts w:ascii="Palatino Linotype" w:hAnsi="Palatino Linotype" w:cs="Arial"/>
          <w:b/>
          <w:bCs/>
          <w:i/>
          <w:sz w:val="22"/>
        </w:rPr>
        <w:lastRenderedPageBreak/>
        <w:t xml:space="preserve">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8D3C21" w:rsidRDefault="008D3C21" w:rsidP="008D3C21">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8D3C21" w:rsidRDefault="008D3C21" w:rsidP="008D3C2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8D3C21" w:rsidRPr="00BC6B31" w:rsidRDefault="008D3C21" w:rsidP="008D3C21">
      <w:pPr>
        <w:pStyle w:val="Textoindependiente2"/>
        <w:spacing w:before="100" w:beforeAutospacing="1" w:after="100" w:afterAutospacing="1" w:line="240" w:lineRule="auto"/>
        <w:ind w:left="851" w:right="899"/>
        <w:contextualSpacing/>
        <w:jc w:val="both"/>
        <w:rPr>
          <w:rFonts w:ascii="Palatino Linotype" w:hAnsi="Palatino Linotype" w:cs="Arial"/>
          <w:i/>
          <w:sz w:val="22"/>
          <w:szCs w:val="22"/>
        </w:rPr>
      </w:pPr>
      <w:r w:rsidRPr="00BC6B31">
        <w:rPr>
          <w:rFonts w:ascii="Palatino Linotype" w:hAnsi="Palatino Linotype" w:cs="Arial"/>
          <w:i/>
          <w:sz w:val="22"/>
          <w:szCs w:val="22"/>
        </w:rPr>
        <w:t>“</w:t>
      </w:r>
      <w:r w:rsidRPr="00BC6B31">
        <w:rPr>
          <w:rFonts w:ascii="Palatino Linotype" w:hAnsi="Palatino Linotype" w:cs="Arial"/>
          <w:b/>
          <w:i/>
          <w:sz w:val="22"/>
          <w:szCs w:val="22"/>
        </w:rPr>
        <w:t xml:space="preserve">FUNDAMENTACION Y MOTIVACION. </w:t>
      </w:r>
      <w:r w:rsidRPr="00BC6B31">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3C21" w:rsidRPr="00BC6B31" w:rsidRDefault="008D3C21" w:rsidP="008D3C21">
      <w:pPr>
        <w:pStyle w:val="Textoindependiente2"/>
        <w:spacing w:before="100" w:beforeAutospacing="1" w:after="100" w:afterAutospacing="1" w:line="240" w:lineRule="auto"/>
        <w:ind w:left="851" w:right="616"/>
        <w:contextualSpacing/>
        <w:jc w:val="both"/>
        <w:rPr>
          <w:rFonts w:ascii="Palatino Linotype" w:hAnsi="Palatino Linotype" w:cs="Arial"/>
          <w:i/>
          <w:sz w:val="22"/>
          <w:szCs w:val="22"/>
        </w:rPr>
      </w:pPr>
      <w:r w:rsidRPr="00BC6B31">
        <w:rPr>
          <w:rFonts w:ascii="Palatino Linotype" w:hAnsi="Palatino Linotype" w:cs="Arial"/>
          <w:i/>
          <w:sz w:val="22"/>
          <w:szCs w:val="22"/>
        </w:rPr>
        <w:t>…” (Sic)</w:t>
      </w:r>
    </w:p>
    <w:p w:rsidR="008D3C21" w:rsidRDefault="008D3C21" w:rsidP="008D3C21">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8D3C21" w:rsidRPr="00577CBF" w:rsidRDefault="008D3C21" w:rsidP="008D3C21">
      <w:pPr>
        <w:pStyle w:val="Textoindependiente2"/>
        <w:spacing w:before="100" w:beforeAutospacing="1" w:after="100" w:afterAutospacing="1" w:line="240" w:lineRule="auto"/>
        <w:ind w:left="851" w:right="902"/>
        <w:contextualSpacing/>
        <w:jc w:val="both"/>
        <w:rPr>
          <w:rFonts w:ascii="Palatino Linotype" w:hAnsi="Palatino Linotype" w:cs="Arial"/>
          <w:i/>
          <w:sz w:val="22"/>
          <w:szCs w:val="22"/>
        </w:rPr>
      </w:pPr>
      <w:r w:rsidRPr="002D6AE8">
        <w:rPr>
          <w:rFonts w:ascii="Palatino Linotype" w:hAnsi="Palatino Linotype" w:cs="Arial"/>
          <w:i/>
          <w:sz w:val="22"/>
          <w:szCs w:val="22"/>
        </w:rPr>
        <w:lastRenderedPageBreak/>
        <w:t>“</w:t>
      </w:r>
      <w:r w:rsidRPr="002D6AE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D6AE8">
        <w:rPr>
          <w:rFonts w:ascii="Palatino Linotype" w:hAnsi="Palatino Linotype" w:cs="Arial"/>
          <w:i/>
          <w:sz w:val="22"/>
          <w:szCs w:val="22"/>
        </w:rPr>
        <w:t xml:space="preserve">. El contenido formal de la garantía de legalidad prevista en el artículo 16 constitucional relativa a </w:t>
      </w:r>
      <w:r w:rsidRPr="00577CBF">
        <w:rPr>
          <w:rFonts w:ascii="Palatino Linotype" w:hAnsi="Palatino Linotype" w:cs="Arial"/>
          <w:i/>
          <w:sz w:val="22"/>
          <w:szCs w:val="22"/>
        </w:rPr>
        <w:t>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roofErr w:type="gramStart"/>
      <w:r w:rsidRPr="00577CBF">
        <w:rPr>
          <w:rFonts w:ascii="Palatino Linotype" w:hAnsi="Palatino Linotype" w:cs="Arial"/>
          <w:i/>
          <w:sz w:val="22"/>
          <w:szCs w:val="22"/>
        </w:rPr>
        <w:t>sic</w:t>
      </w:r>
      <w:proofErr w:type="gramEnd"/>
      <w:r w:rsidRPr="00577CBF">
        <w:rPr>
          <w:rFonts w:ascii="Palatino Linotype" w:hAnsi="Palatino Linotype" w:cs="Arial"/>
          <w:i/>
          <w:sz w:val="22"/>
          <w:szCs w:val="22"/>
        </w:rPr>
        <w:t>)</w:t>
      </w:r>
    </w:p>
    <w:p w:rsidR="008D3C21" w:rsidRDefault="008D3C21" w:rsidP="008D3C21">
      <w:pPr>
        <w:spacing w:before="100" w:beforeAutospacing="1" w:after="100" w:afterAutospacing="1" w:line="360" w:lineRule="auto"/>
        <w:ind w:right="51"/>
        <w:contextualSpacing/>
        <w:jc w:val="both"/>
        <w:rPr>
          <w:rFonts w:ascii="Palatino Linotype" w:hAnsi="Palatino Linotype" w:cs="Arial"/>
        </w:rPr>
      </w:pPr>
      <w:r>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CC7EB6" w:rsidRDefault="00CC7EB6" w:rsidP="008D3C21">
      <w:pPr>
        <w:spacing w:before="100" w:beforeAutospacing="1" w:after="100" w:afterAutospacing="1" w:line="360" w:lineRule="auto"/>
        <w:ind w:right="51"/>
        <w:contextualSpacing/>
        <w:jc w:val="both"/>
        <w:rPr>
          <w:rFonts w:ascii="Palatino Linotype" w:hAnsi="Palatino Linotype" w:cs="Arial"/>
        </w:rPr>
      </w:pPr>
    </w:p>
    <w:p w:rsidR="00BE0300" w:rsidRDefault="00C90A7B" w:rsidP="00090B6C">
      <w:pPr>
        <w:spacing w:before="100" w:beforeAutospacing="1" w:after="100" w:afterAutospacing="1" w:line="360" w:lineRule="auto"/>
        <w:jc w:val="both"/>
        <w:rPr>
          <w:rFonts w:ascii="Palatino Linotype" w:hAnsi="Palatino Linotype" w:cs="Arial"/>
        </w:rPr>
      </w:pPr>
      <w:r>
        <w:rPr>
          <w:rFonts w:ascii="Palatino Linotype" w:hAnsi="Palatino Linotype"/>
        </w:rPr>
        <w:t>En razón de lo expuesto, la suscr</w:t>
      </w:r>
      <w:r w:rsidR="00D166B0">
        <w:rPr>
          <w:rFonts w:ascii="Palatino Linotype" w:hAnsi="Palatino Linotype"/>
        </w:rPr>
        <w:t>ita insiste</w:t>
      </w:r>
      <w:r>
        <w:rPr>
          <w:rFonts w:ascii="Palatino Linotype" w:hAnsi="Palatino Linotype"/>
        </w:rPr>
        <w:t xml:space="preserve"> en que</w:t>
      </w:r>
      <w:r w:rsidR="00366738">
        <w:rPr>
          <w:rFonts w:ascii="Palatino Linotype" w:hAnsi="Palatino Linotype"/>
        </w:rPr>
        <w:t xml:space="preserve"> la Ponencia Resolutora debió emitir algún pronunciamiento respecto de que </w:t>
      </w:r>
      <w:r w:rsidR="00366738" w:rsidRPr="008D3C21">
        <w:rPr>
          <w:rFonts w:ascii="Palatino Linotype" w:hAnsi="Palatino Linotype"/>
          <w:b/>
        </w:rPr>
        <w:t>EL RECURRENTE</w:t>
      </w:r>
      <w:r w:rsidR="00366738">
        <w:rPr>
          <w:rFonts w:ascii="Palatino Linotype" w:hAnsi="Palatino Linotype"/>
        </w:rPr>
        <w:t xml:space="preserve"> manifestó que </w:t>
      </w:r>
      <w:r w:rsidR="00366738" w:rsidRPr="001B084F">
        <w:rPr>
          <w:rFonts w:ascii="Palatino Linotype" w:hAnsi="Palatino Linotype"/>
        </w:rPr>
        <w:t xml:space="preserve">en la Fiscalía Regional de la Agencia del Ministerio Público </w:t>
      </w:r>
      <w:r w:rsidR="00366738">
        <w:rPr>
          <w:rFonts w:ascii="Palatino Linotype" w:hAnsi="Palatino Linotype"/>
        </w:rPr>
        <w:t>del primer turno só</w:t>
      </w:r>
      <w:r w:rsidR="00366738" w:rsidRPr="001B084F">
        <w:rPr>
          <w:rFonts w:ascii="Palatino Linotype" w:hAnsi="Palatino Linotype"/>
        </w:rPr>
        <w:t>lo t</w:t>
      </w:r>
      <w:r w:rsidR="00366738">
        <w:rPr>
          <w:rFonts w:ascii="Palatino Linotype" w:hAnsi="Palatino Linotype"/>
        </w:rPr>
        <w:t>enían l</w:t>
      </w:r>
      <w:r w:rsidR="00366738" w:rsidRPr="001B084F">
        <w:rPr>
          <w:rFonts w:ascii="Palatino Linotype" w:hAnsi="Palatino Linotype"/>
        </w:rPr>
        <w:t xml:space="preserve">a carpeta de investigación, </w:t>
      </w:r>
      <w:r w:rsidR="00366738">
        <w:rPr>
          <w:rFonts w:ascii="Palatino Linotype" w:hAnsi="Palatino Linotype"/>
        </w:rPr>
        <w:t>no así el dictamen de valuación de daños de</w:t>
      </w:r>
      <w:r w:rsidR="003E507D">
        <w:rPr>
          <w:rFonts w:ascii="Palatino Linotype" w:hAnsi="Palatino Linotype"/>
        </w:rPr>
        <w:t>l</w:t>
      </w:r>
      <w:r w:rsidR="00366738">
        <w:rPr>
          <w:rFonts w:ascii="Palatino Linotype" w:hAnsi="Palatino Linotype"/>
        </w:rPr>
        <w:t xml:space="preserve"> vehículo automotriz, a </w:t>
      </w:r>
      <w:r w:rsidR="00366738">
        <w:rPr>
          <w:rFonts w:ascii="Palatino Linotype" w:hAnsi="Palatino Linotype"/>
        </w:rPr>
        <w:lastRenderedPageBreak/>
        <w:t xml:space="preserve">fin de dar cumplimiento a los principios de </w:t>
      </w:r>
      <w:r w:rsidR="00366738">
        <w:rPr>
          <w:rFonts w:ascii="Palatino Linotype" w:hAnsi="Palatino Linotype" w:cs="Arial"/>
        </w:rPr>
        <w:t>certeza jurídica, exhaustividad, fundamentación, motivación y objetividad.</w:t>
      </w:r>
    </w:p>
    <w:p w:rsidR="001B6DD5" w:rsidRDefault="001B6DD5"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366738" w:rsidRDefault="00366738" w:rsidP="00090B6C">
      <w:pPr>
        <w:spacing w:before="100" w:beforeAutospacing="1" w:after="100" w:afterAutospacing="1" w:line="360" w:lineRule="auto"/>
        <w:ind w:right="49"/>
        <w:jc w:val="both"/>
        <w:rPr>
          <w:rFonts w:ascii="Palatino Linotype" w:hAnsi="Palatino Linotype" w:cs="Arial"/>
        </w:rPr>
      </w:pPr>
    </w:p>
    <w:p w:rsidR="00366738" w:rsidRDefault="00366738" w:rsidP="00090B6C">
      <w:pPr>
        <w:spacing w:before="100" w:beforeAutospacing="1" w:after="100" w:afterAutospacing="1" w:line="360" w:lineRule="auto"/>
        <w:ind w:right="49"/>
        <w:jc w:val="both"/>
        <w:rPr>
          <w:rFonts w:ascii="Palatino Linotype" w:hAnsi="Palatino Linotype" w:cs="Arial"/>
        </w:rPr>
      </w:pPr>
    </w:p>
    <w:p w:rsidR="0092700B" w:rsidRDefault="0092700B" w:rsidP="00090B6C">
      <w:pPr>
        <w:spacing w:before="100" w:beforeAutospacing="1" w:after="100" w:afterAutospacing="1" w:line="360" w:lineRule="auto"/>
        <w:ind w:right="49"/>
        <w:jc w:val="both"/>
        <w:rPr>
          <w:rFonts w:ascii="Palatino Linotype" w:hAnsi="Palatino Linotype" w:cs="Arial"/>
        </w:rPr>
      </w:pPr>
    </w:p>
    <w:p w:rsidR="00160BCB" w:rsidRDefault="00160BCB" w:rsidP="00090B6C">
      <w:pPr>
        <w:spacing w:before="100" w:beforeAutospacing="1" w:after="100" w:afterAutospacing="1" w:line="360" w:lineRule="auto"/>
        <w:ind w:right="49"/>
        <w:jc w:val="both"/>
        <w:rPr>
          <w:rFonts w:ascii="Palatino Linotype" w:hAnsi="Palatino Linotype" w:cs="Arial"/>
        </w:rPr>
      </w:pPr>
    </w:p>
    <w:p w:rsidR="003F730A" w:rsidRPr="00871B03" w:rsidRDefault="003F730A" w:rsidP="00090B6C">
      <w:pPr>
        <w:spacing w:before="100" w:beforeAutospacing="1" w:after="100" w:afterAutospacing="1" w:line="360" w:lineRule="auto"/>
        <w:ind w:right="49"/>
        <w:jc w:val="both"/>
        <w:rPr>
          <w:rFonts w:ascii="Palatino Linotype" w:hAnsi="Palatino Linotype" w:cs="Arial"/>
        </w:rPr>
      </w:pPr>
    </w:p>
    <w:p w:rsidR="00670931" w:rsidRPr="00871B03" w:rsidRDefault="00670931" w:rsidP="00820DBE">
      <w:pPr>
        <w:jc w:val="center"/>
        <w:rPr>
          <w:rFonts w:ascii="Palatino Linotype" w:hAnsi="Palatino Linotype"/>
          <w:b/>
        </w:rPr>
      </w:pPr>
      <w:r w:rsidRPr="00871B03">
        <w:rPr>
          <w:rFonts w:ascii="Palatino Linotype" w:hAnsi="Palatino Linotype"/>
          <w:b/>
        </w:rPr>
        <w:t>EVA ABAID YAPUR</w:t>
      </w:r>
    </w:p>
    <w:p w:rsidR="00670931" w:rsidRDefault="00670931" w:rsidP="00820DBE">
      <w:pPr>
        <w:jc w:val="center"/>
        <w:rPr>
          <w:rFonts w:ascii="Palatino Linotype" w:hAnsi="Palatino Linotype"/>
          <w:b/>
        </w:rPr>
      </w:pPr>
      <w:r w:rsidRPr="00871B03">
        <w:rPr>
          <w:rFonts w:ascii="Palatino Linotype" w:hAnsi="Palatino Linotype"/>
          <w:b/>
        </w:rPr>
        <w:t>COMISIONADA</w:t>
      </w:r>
    </w:p>
    <w:p w:rsidR="00647A0F" w:rsidRPr="00871B03" w:rsidRDefault="00647A0F" w:rsidP="00820DBE">
      <w:pPr>
        <w:jc w:val="center"/>
        <w:rPr>
          <w:rFonts w:ascii="Palatino Linotype" w:hAnsi="Palatino Linotype"/>
          <w:b/>
        </w:rPr>
      </w:pPr>
      <w:r w:rsidRPr="00535456">
        <w:rPr>
          <w:rFonts w:ascii="Palatino Linotype" w:hAnsi="Palatino Linotype"/>
          <w:b/>
        </w:rPr>
        <w:t>(RÚBRICA)</w:t>
      </w:r>
    </w:p>
    <w:p w:rsidR="001B6DD5" w:rsidRPr="00871B03" w:rsidRDefault="001B6DD5" w:rsidP="00090B6C">
      <w:pPr>
        <w:spacing w:before="100" w:beforeAutospacing="1" w:after="100" w:afterAutospacing="1"/>
        <w:jc w:val="both"/>
        <w:rPr>
          <w:rFonts w:ascii="Palatino Linotype" w:eastAsia="Calibri" w:hAnsi="Palatino Linotype" w:cs="Arial"/>
          <w:sz w:val="20"/>
        </w:rPr>
      </w:pPr>
    </w:p>
    <w:p w:rsidR="0092700B" w:rsidRPr="00871B03" w:rsidRDefault="0092700B" w:rsidP="00090B6C">
      <w:pPr>
        <w:spacing w:before="100" w:beforeAutospacing="1" w:after="100" w:afterAutospacing="1"/>
        <w:jc w:val="both"/>
        <w:rPr>
          <w:rFonts w:ascii="Palatino Linotype" w:eastAsia="Calibri" w:hAnsi="Palatino Linotype" w:cs="Arial"/>
          <w:sz w:val="20"/>
        </w:rPr>
      </w:pPr>
      <w:bookmarkStart w:id="0" w:name="_GoBack"/>
      <w:bookmarkEnd w:id="0"/>
    </w:p>
    <w:p w:rsidR="00160BCB" w:rsidRDefault="00160BCB" w:rsidP="00160BCB">
      <w:pPr>
        <w:jc w:val="both"/>
        <w:rPr>
          <w:rFonts w:ascii="Palatino Linotype" w:eastAsia="Calibri" w:hAnsi="Palatino Linotype" w:cs="Arial"/>
          <w:sz w:val="20"/>
        </w:rPr>
      </w:pPr>
    </w:p>
    <w:p w:rsidR="00160BCB" w:rsidRDefault="00160BCB" w:rsidP="00160BCB">
      <w:pPr>
        <w:jc w:val="both"/>
        <w:rPr>
          <w:rFonts w:ascii="Palatino Linotype" w:eastAsia="Calibri" w:hAnsi="Palatino Linotype" w:cs="Arial"/>
          <w:sz w:val="20"/>
        </w:rPr>
      </w:pPr>
    </w:p>
    <w:p w:rsidR="00A517EA" w:rsidRDefault="00D05D82" w:rsidP="00160BCB">
      <w:pPr>
        <w:jc w:val="both"/>
        <w:rPr>
          <w:rFonts w:ascii="Palatino Linotype" w:eastAsia="Calibri" w:hAnsi="Palatino Linotype" w:cs="Arial"/>
          <w:sz w:val="20"/>
        </w:rPr>
      </w:pPr>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 xml:space="preserve">l Recurso de Revisión </w:t>
      </w:r>
      <w:r w:rsidR="00711883">
        <w:rPr>
          <w:rFonts w:ascii="Palatino Linotype" w:eastAsia="Calibri" w:hAnsi="Palatino Linotype" w:cs="Arial"/>
          <w:sz w:val="20"/>
        </w:rPr>
        <w:t>04274</w:t>
      </w:r>
      <w:r w:rsidR="00670931" w:rsidRPr="00670931">
        <w:rPr>
          <w:rFonts w:ascii="Palatino Linotype" w:eastAsia="Calibri" w:hAnsi="Palatino Linotype" w:cs="Arial"/>
          <w:sz w:val="20"/>
        </w:rPr>
        <w:t>/INFOEM/IP/RR/2018</w:t>
      </w:r>
      <w:r w:rsidR="006C63C4" w:rsidRPr="00871B03">
        <w:rPr>
          <w:rFonts w:ascii="Palatino Linotype" w:eastAsia="Calibri" w:hAnsi="Palatino Linotype" w:cs="Arial"/>
          <w:sz w:val="20"/>
        </w:rPr>
        <w:t xml:space="preserve">, aprobada el </w:t>
      </w:r>
      <w:r w:rsidR="00D0607D">
        <w:rPr>
          <w:rFonts w:ascii="Palatino Linotype" w:eastAsia="Calibri" w:hAnsi="Palatino Linotype" w:cs="Arial"/>
          <w:sz w:val="20"/>
        </w:rPr>
        <w:t>veintitrés</w:t>
      </w:r>
      <w:r w:rsidR="00BF70B2" w:rsidRPr="00871B03">
        <w:rPr>
          <w:rFonts w:ascii="Palatino Linotype" w:eastAsia="Calibri" w:hAnsi="Palatino Linotype" w:cs="Arial"/>
          <w:sz w:val="20"/>
        </w:rPr>
        <w:t xml:space="preserve">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160BCB" w:rsidRPr="00160BCB" w:rsidRDefault="00160BCB" w:rsidP="00160BCB">
      <w:pPr>
        <w:jc w:val="both"/>
        <w:rPr>
          <w:rFonts w:ascii="Palatino Linotype" w:eastAsia="Calibri" w:hAnsi="Palatino Linotype" w:cs="Arial"/>
          <w:sz w:val="10"/>
          <w:szCs w:val="10"/>
        </w:rPr>
      </w:pPr>
    </w:p>
    <w:p w:rsidR="00A517EA" w:rsidRPr="00871B03" w:rsidRDefault="00A517EA" w:rsidP="00160BCB">
      <w:pPr>
        <w:jc w:val="both"/>
        <w:rPr>
          <w:rFonts w:ascii="Palatino Linotype" w:hAnsi="Palatino Linotype"/>
        </w:rPr>
      </w:pPr>
      <w:r w:rsidRPr="00871B03">
        <w:rPr>
          <w:rFonts w:ascii="Palatino Linotype" w:eastAsia="Calibri" w:hAnsi="Palatino Linotype" w:cs="Arial"/>
          <w:sz w:val="20"/>
        </w:rPr>
        <w:t>YSM/</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820DBE">
        <w:rPr>
          <w:rFonts w:ascii="Palatino Linotype" w:eastAsia="Calibri" w:hAnsi="Palatino Linotype" w:cs="Arial"/>
          <w:noProof/>
          <w:sz w:val="20"/>
          <w:lang w:eastAsia="es-MX"/>
        </w:rPr>
        <w:t>CBO</w:t>
      </w:r>
    </w:p>
    <w:sectPr w:rsidR="00A517EA" w:rsidRPr="00871B03"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EE" w:rsidRDefault="00F81CEE" w:rsidP="00DB3A83">
      <w:r>
        <w:separator/>
      </w:r>
    </w:p>
  </w:endnote>
  <w:endnote w:type="continuationSeparator" w:id="0">
    <w:p w:rsidR="00F81CEE" w:rsidRDefault="00F81CEE"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647A0F" w:rsidP="003056D9">
    <w:pPr>
      <w:pStyle w:val="Piedepgina"/>
      <w:tabs>
        <w:tab w:val="clear" w:pos="4252"/>
        <w:tab w:val="left" w:pos="4228"/>
      </w:tabs>
      <w:rPr>
        <w:rFonts w:ascii="Palatino Linotype" w:hAnsi="Palatino Linotype" w:cs="Arial"/>
        <w:b/>
        <w:bCs/>
        <w:sz w:val="20"/>
        <w:szCs w:val="20"/>
      </w:rPr>
    </w:pPr>
  </w:p>
  <w:p w:rsidR="003056D9" w:rsidRDefault="00647A0F" w:rsidP="003056D9">
    <w:pPr>
      <w:pStyle w:val="Piedepgina"/>
      <w:tabs>
        <w:tab w:val="clear" w:pos="4252"/>
        <w:tab w:val="left" w:pos="4228"/>
      </w:tabs>
      <w:rPr>
        <w:rFonts w:ascii="Palatino Linotype" w:hAnsi="Palatino Linotype" w:cs="Arial"/>
        <w:b/>
        <w:bCs/>
        <w:sz w:val="20"/>
        <w:szCs w:val="20"/>
      </w:rPr>
    </w:pPr>
  </w:p>
  <w:p w:rsidR="003056D9" w:rsidRDefault="00647A0F" w:rsidP="003056D9">
    <w:pPr>
      <w:pStyle w:val="Piedepgina"/>
      <w:tabs>
        <w:tab w:val="clear" w:pos="4252"/>
        <w:tab w:val="left" w:pos="4228"/>
      </w:tabs>
      <w:rPr>
        <w:rFonts w:ascii="Palatino Linotype" w:hAnsi="Palatino Linotype" w:cs="Arial"/>
        <w:b/>
        <w:bCs/>
        <w:sz w:val="20"/>
        <w:szCs w:val="20"/>
      </w:rPr>
    </w:pPr>
  </w:p>
  <w:p w:rsidR="00455CB3" w:rsidRDefault="00647A0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7A0F">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7A0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647A0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EE" w:rsidRDefault="00F81CEE" w:rsidP="00DB3A83">
      <w:r>
        <w:separator/>
      </w:r>
    </w:p>
  </w:footnote>
  <w:footnote w:type="continuationSeparator" w:id="0">
    <w:p w:rsidR="00F81CEE" w:rsidRDefault="00F81CEE"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160BCB"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160BC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160BCB"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04274</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647A0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429pt;height:59.2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225F9B"/>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5EF1"/>
    <w:rsid w:val="00043682"/>
    <w:rsid w:val="00077D45"/>
    <w:rsid w:val="00090B6C"/>
    <w:rsid w:val="000C5CF3"/>
    <w:rsid w:val="000F0C55"/>
    <w:rsid w:val="000F4E57"/>
    <w:rsid w:val="00117480"/>
    <w:rsid w:val="001315A8"/>
    <w:rsid w:val="00160BCB"/>
    <w:rsid w:val="00177DF1"/>
    <w:rsid w:val="00191CF3"/>
    <w:rsid w:val="001976FE"/>
    <w:rsid w:val="001B084F"/>
    <w:rsid w:val="001B4CB4"/>
    <w:rsid w:val="001B6DD5"/>
    <w:rsid w:val="001C04AC"/>
    <w:rsid w:val="001F45A6"/>
    <w:rsid w:val="00216380"/>
    <w:rsid w:val="00224A94"/>
    <w:rsid w:val="00254372"/>
    <w:rsid w:val="00260EA1"/>
    <w:rsid w:val="002670A2"/>
    <w:rsid w:val="00296C85"/>
    <w:rsid w:val="002F7B17"/>
    <w:rsid w:val="00303EAE"/>
    <w:rsid w:val="00324EBE"/>
    <w:rsid w:val="00366738"/>
    <w:rsid w:val="0037730C"/>
    <w:rsid w:val="003A6BEC"/>
    <w:rsid w:val="003B0314"/>
    <w:rsid w:val="003C2F6A"/>
    <w:rsid w:val="003C5476"/>
    <w:rsid w:val="003D0B7C"/>
    <w:rsid w:val="003E507D"/>
    <w:rsid w:val="003F730A"/>
    <w:rsid w:val="004275EC"/>
    <w:rsid w:val="00437359"/>
    <w:rsid w:val="00460F1A"/>
    <w:rsid w:val="004863D7"/>
    <w:rsid w:val="00487B66"/>
    <w:rsid w:val="004B56EA"/>
    <w:rsid w:val="004B5C25"/>
    <w:rsid w:val="004B6DDA"/>
    <w:rsid w:val="0053148C"/>
    <w:rsid w:val="00536147"/>
    <w:rsid w:val="00553BC6"/>
    <w:rsid w:val="00584608"/>
    <w:rsid w:val="005A4D7F"/>
    <w:rsid w:val="005B3099"/>
    <w:rsid w:val="00623D4F"/>
    <w:rsid w:val="00647A0F"/>
    <w:rsid w:val="00654FE9"/>
    <w:rsid w:val="00670931"/>
    <w:rsid w:val="006801D4"/>
    <w:rsid w:val="006A33F9"/>
    <w:rsid w:val="006B0D54"/>
    <w:rsid w:val="006B30CD"/>
    <w:rsid w:val="006C63C4"/>
    <w:rsid w:val="006C7D0A"/>
    <w:rsid w:val="006D731E"/>
    <w:rsid w:val="006E4ECD"/>
    <w:rsid w:val="00711883"/>
    <w:rsid w:val="00731320"/>
    <w:rsid w:val="00740E0B"/>
    <w:rsid w:val="00741967"/>
    <w:rsid w:val="007C63BC"/>
    <w:rsid w:val="007C7A0C"/>
    <w:rsid w:val="007E0419"/>
    <w:rsid w:val="00811B0B"/>
    <w:rsid w:val="008122B6"/>
    <w:rsid w:val="00820DBE"/>
    <w:rsid w:val="00823404"/>
    <w:rsid w:val="00854CEE"/>
    <w:rsid w:val="00862F43"/>
    <w:rsid w:val="00864D3F"/>
    <w:rsid w:val="00871B03"/>
    <w:rsid w:val="008731F7"/>
    <w:rsid w:val="00887C59"/>
    <w:rsid w:val="008965AF"/>
    <w:rsid w:val="008A35FA"/>
    <w:rsid w:val="008B0732"/>
    <w:rsid w:val="008D3C21"/>
    <w:rsid w:val="008D4407"/>
    <w:rsid w:val="00913E69"/>
    <w:rsid w:val="0092700B"/>
    <w:rsid w:val="0094319B"/>
    <w:rsid w:val="00960ACD"/>
    <w:rsid w:val="00970770"/>
    <w:rsid w:val="009726DC"/>
    <w:rsid w:val="00990B93"/>
    <w:rsid w:val="009C2142"/>
    <w:rsid w:val="009D4A32"/>
    <w:rsid w:val="009F0C59"/>
    <w:rsid w:val="009F3E24"/>
    <w:rsid w:val="00A06423"/>
    <w:rsid w:val="00A12991"/>
    <w:rsid w:val="00A15DD9"/>
    <w:rsid w:val="00A2795F"/>
    <w:rsid w:val="00A517EA"/>
    <w:rsid w:val="00A95F70"/>
    <w:rsid w:val="00A96975"/>
    <w:rsid w:val="00AA09B9"/>
    <w:rsid w:val="00AC2253"/>
    <w:rsid w:val="00AF01BA"/>
    <w:rsid w:val="00B12945"/>
    <w:rsid w:val="00B30650"/>
    <w:rsid w:val="00B6126C"/>
    <w:rsid w:val="00B756DB"/>
    <w:rsid w:val="00B860BF"/>
    <w:rsid w:val="00BB74CD"/>
    <w:rsid w:val="00BE0300"/>
    <w:rsid w:val="00BF70B2"/>
    <w:rsid w:val="00C5282C"/>
    <w:rsid w:val="00C90A7B"/>
    <w:rsid w:val="00CC4D10"/>
    <w:rsid w:val="00CC7EB6"/>
    <w:rsid w:val="00CE0D21"/>
    <w:rsid w:val="00CF530F"/>
    <w:rsid w:val="00CF70C6"/>
    <w:rsid w:val="00D052DA"/>
    <w:rsid w:val="00D05D82"/>
    <w:rsid w:val="00D0607D"/>
    <w:rsid w:val="00D064C2"/>
    <w:rsid w:val="00D11661"/>
    <w:rsid w:val="00D166B0"/>
    <w:rsid w:val="00D25E71"/>
    <w:rsid w:val="00D55E6A"/>
    <w:rsid w:val="00D724F4"/>
    <w:rsid w:val="00D872C4"/>
    <w:rsid w:val="00DA48BD"/>
    <w:rsid w:val="00DB24D1"/>
    <w:rsid w:val="00DB3A83"/>
    <w:rsid w:val="00DD5275"/>
    <w:rsid w:val="00DF2B74"/>
    <w:rsid w:val="00E00C3B"/>
    <w:rsid w:val="00E46292"/>
    <w:rsid w:val="00E56A61"/>
    <w:rsid w:val="00EB1D9E"/>
    <w:rsid w:val="00EE5465"/>
    <w:rsid w:val="00EF530D"/>
    <w:rsid w:val="00F054F8"/>
    <w:rsid w:val="00F10238"/>
    <w:rsid w:val="00F441FF"/>
    <w:rsid w:val="00F51491"/>
    <w:rsid w:val="00F579EE"/>
    <w:rsid w:val="00F64CC1"/>
    <w:rsid w:val="00F80B94"/>
    <w:rsid w:val="00F81CEE"/>
    <w:rsid w:val="00F83B8D"/>
    <w:rsid w:val="00F91A7F"/>
    <w:rsid w:val="00FA0BF5"/>
    <w:rsid w:val="00FA5F51"/>
    <w:rsid w:val="00FB6FE4"/>
    <w:rsid w:val="00FC7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8D3C21"/>
    <w:pPr>
      <w:spacing w:after="120" w:line="480" w:lineRule="auto"/>
    </w:pPr>
  </w:style>
  <w:style w:type="character" w:customStyle="1" w:styleId="Textoindependiente2Car">
    <w:name w:val="Texto independiente 2 Car"/>
    <w:basedOn w:val="Fuentedeprrafopredeter"/>
    <w:link w:val="Textoindependiente2"/>
    <w:uiPriority w:val="99"/>
    <w:rsid w:val="008D3C2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1928</Words>
  <Characters>10607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2018-11-27T00:11:00Z</cp:lastPrinted>
  <dcterms:created xsi:type="dcterms:W3CDTF">2019-01-28T22:12:00Z</dcterms:created>
  <dcterms:modified xsi:type="dcterms:W3CDTF">2019-02-15T21:40:00Z</dcterms:modified>
</cp:coreProperties>
</file>